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400"/>
      </w:pPr>
      <w:r>
        <w:rPr>
          <w:rFonts w:ascii="Malgun Gothic" w:cs="Malgun Gothic" w:eastAsia="Malgun Gothic" w:hAnsi="Malgun Gothic"/>
          <w:b/>
          <w:bCs/>
          <w:color w:val="C9A227"/>
          <w:spacing w:val="20"/>
          <w:sz w:val="22"/>
          <w:szCs w:val="22"/>
        </w:rPr>
        <w:t xml:space="preserve">CRIMSON VALUE</w:t>
      </w:r>
    </w:p>
    <w:p>
      <w:pPr>
        <w:spacing w:after="200"/>
      </w:pPr>
      <w:r>
        <w:rPr>
          <w:rFonts w:ascii="Malgun Gothic" w:cs="Malgun Gothic" w:eastAsia="Malgun Gothic" w:hAnsi="Malgun Gothic"/>
          <w:color w:val="767066"/>
          <w:sz w:val="19"/>
          <w:szCs w:val="19"/>
        </w:rPr>
        <w:t xml:space="preserve">고려대학교 세종캠퍼스 · 8주 커리큘럼 결과물 예시</w:t>
      </w:r>
    </w:p>
    <w:p>
      <w:pPr>
        <w:spacing w:after="60" w:before="300"/>
      </w:pPr>
      <w:r>
        <w:rPr>
          <w:rFonts w:ascii="Malgun Gothic" w:cs="Malgun Gothic" w:eastAsia="Malgun Gothic" w:hAnsi="Malgun Gothic"/>
          <w:b/>
          <w:bCs/>
          <w:color w:val="1B2340"/>
          <w:sz w:val="52"/>
          <w:szCs w:val="52"/>
        </w:rPr>
        <w:t xml:space="preserve">관심기업 리서치 리포트</w:t>
      </w:r>
    </w:p>
    <w:p>
      <w:pPr>
        <w:spacing w:after="500"/>
      </w:pPr>
      <w:r>
        <w:rPr>
          <w:rFonts w:ascii="Malgun Gothic" w:cs="Malgun Gothic" w:eastAsia="Malgun Gothic" w:hAnsi="Malgun Gothic"/>
          <w:b/>
          <w:bCs/>
          <w:color w:val="8C1D2B"/>
          <w:sz w:val="34"/>
          <w:szCs w:val="34"/>
        </w:rPr>
        <w:t xml:space="preserve">삼성전자(005930)</w:t>
      </w:r>
    </w:p>
    <w:tbl>
      <w:tblPr>
        <w:tblW w:type="dxa" w:w="8700"/>
        <w:tblBorders>
          <w:top w:val="none"/>
          <w:left w:val="none"/>
          <w:bottom w:val="none"/>
          <w:right w:val="none"/>
          <w:insideH w:val="none"/>
          <w:insideV w:val="none"/>
        </w:tblBorders>
      </w:tblPr>
      <w:tblGrid>
        <w:gridCol w:w="2400"/>
        <w:gridCol w:w="6300"/>
      </w:tblGrid>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문서 성격</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크림슨밸류 8주 기초 커리큘럼(2~5주차 "관통구조")을 완료하면 완성되는 개인 리서치 리포트의 예시 샘플</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대상 기업</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삼성전자(005930) — 여름 연구회 실습 및 학회 증빙자료에서 사용된 관심기업 예시를 그대로 계승</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작성 기준일</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2026.08.20 (공개 자료 기준, 실제 수치와 차이가 있을 수 있음)</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커리큘럼 매핑</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2주차 기업개요·BM → 3주차 재무제표 → 4주차 시가총액 → 5주차 PER·PBR 상대평가</w:t>
            </w:r>
          </w:p>
        </w:tc>
      </w:tr>
    </w:tbl>
    <w:p>
      <w:pPr>
        <w:pBdr>
          <w:top w:val="single" w:color="D9D2C4" w:sz="6" w:space="8"/>
        </w:pBdr>
        <w:spacing w:before="500"/>
      </w:pPr>
    </w:p>
    <w:p>
      <w:pPr>
        <w:spacing w:after="0" w:before="200"/>
      </w:pPr>
      <w:r>
        <w:rPr>
          <w:rFonts w:ascii="Malgun Gothic" w:cs="Malgun Gothic" w:eastAsia="Malgun Gothic" w:hAnsi="Malgun Gothic"/>
          <w:i/>
          <w:iCs/>
          <w:color w:val="767066"/>
          <w:sz w:val="17"/>
          <w:szCs w:val="17"/>
        </w:rPr>
        <w:t xml:space="preserve">※ 이 문서는 신입 회원이 8주 커리큘럼을 완주했을 때 결과물이 어떤 형태인지 보여주기 위한 학회 예시 자료입니다. 투자 자문·매수매도 추천이 아니며, 실제 투자 판단의 근거로 사용할 수 없습니다.</w:t>
      </w:r>
    </w:p>
    <w:p>
      <w:r>
        <w:br w:type="page"/>
      </w:r>
    </w:p>
    <w:p>
      <w:pPr>
        <w:sectPr>
          <w:pgSz w:w="11906" w:h="16838" w:orient="portrait"/>
          <w:pgMar w:top="1600" w:right="1400" w:bottom="1400" w:left="1400" w:header="708" w:footer="708" w:gutter="0"/>
          <w:pgNumType/>
          <w:docGrid w:linePitch="360"/>
        </w:sectPr>
      </w:pP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0. 리포트 개요</w:t>
      </w:r>
    </w:p>
    <w:p>
      <w:pPr>
        <w:spacing w:after="140" w:line="288"/>
      </w:pPr>
      <w:r>
        <w:rPr>
          <w:rFonts w:ascii="Malgun Gothic" w:cs="Malgun Gothic" w:eastAsia="Malgun Gothic" w:hAnsi="Malgun Gothic"/>
          <w:b w:val="false"/>
          <w:bCs w:val="false"/>
          <w:i w:val="false"/>
          <w:iCs w:val="false"/>
          <w:color w:val="22201E"/>
          <w:sz w:val="21"/>
          <w:szCs w:val="21"/>
        </w:rPr>
        <w:t xml:space="preserve">크림슨밸류의 8주 기초 커리큘럼은 2주차에 정한 관심기업 1개를 5주차까지 이어서 분석하는 "관통구조"로 설계되어 있습니다. 매주 작성하는 표준 워크시트(제목·핵심개념·내 분석·배운 점)가 그대로 이어붙여져, 8주차 가상 펀드 피칭 데이에서는 한 편의 완성된 리서치 리포트로 발표됩니다.</w:t>
      </w:r>
    </w:p>
    <w:p>
      <w:pPr>
        <w:spacing w:after="140" w:line="288"/>
      </w:pPr>
      <w:r>
        <w:rPr>
          <w:rFonts w:ascii="Malgun Gothic" w:cs="Malgun Gothic" w:eastAsia="Malgun Gothic" w:hAnsi="Malgun Gothic"/>
          <w:b w:val="false"/>
          <w:bCs w:val="false"/>
          <w:i w:val="false"/>
          <w:iCs w:val="false"/>
          <w:color w:val="22201E"/>
          <w:sz w:val="21"/>
          <w:szCs w:val="21"/>
        </w:rPr>
        <w:t xml:space="preserve">이 문서는 그 결과물이 실제로 어떤 형태인지 보여주는 예시이며, 여름 연구회 실습에서 다뤘던 삼성전자를 관심기업으로 그대로 사용했습니다. 아래 순서는 커리큘럼 주차 순서와 동일합니다.</w:t>
      </w:r>
    </w:p>
    <w:p>
      <w:pPr>
        <w:pStyle w:val="ListParagraph"/>
        <w:numPr>
          <w:ilvl w:val="0"/>
          <w:numId w:val="2"/>
        </w:numPr>
        <w:spacing w:after="80" w:line="276"/>
      </w:pPr>
      <w:r>
        <w:rPr>
          <w:rFonts w:ascii="Malgun Gothic" w:cs="Malgun Gothic" w:eastAsia="Malgun Gothic" w:hAnsi="Malgun Gothic"/>
          <w:color w:val="22201E"/>
          <w:sz w:val="21"/>
          <w:szCs w:val="21"/>
        </w:rPr>
        <w:t xml:space="preserve">2주차 — 기업 개요 &amp; 비즈니스모델(BM) 분석</w:t>
      </w:r>
    </w:p>
    <w:p>
      <w:pPr>
        <w:pStyle w:val="ListParagraph"/>
        <w:numPr>
          <w:ilvl w:val="0"/>
          <w:numId w:val="2"/>
        </w:numPr>
        <w:spacing w:after="80" w:line="276"/>
      </w:pPr>
      <w:r>
        <w:rPr>
          <w:rFonts w:ascii="Malgun Gothic" w:cs="Malgun Gothic" w:eastAsia="Malgun Gothic" w:hAnsi="Malgun Gothic"/>
          <w:color w:val="22201E"/>
          <w:sz w:val="21"/>
          <w:szCs w:val="21"/>
        </w:rPr>
        <w:t xml:space="preserve">3주차 — 재무제표 읽기</w:t>
      </w:r>
    </w:p>
    <w:p>
      <w:pPr>
        <w:pStyle w:val="ListParagraph"/>
        <w:numPr>
          <w:ilvl w:val="0"/>
          <w:numId w:val="2"/>
        </w:numPr>
        <w:spacing w:after="80" w:line="276"/>
      </w:pPr>
      <w:r>
        <w:rPr>
          <w:rFonts w:ascii="Malgun Gothic" w:cs="Malgun Gothic" w:eastAsia="Malgun Gothic" w:hAnsi="Malgun Gothic"/>
          <w:color w:val="22201E"/>
          <w:sz w:val="21"/>
          <w:szCs w:val="21"/>
        </w:rPr>
        <w:t xml:space="preserve">4주차 — 시가총액 &amp; 기업 규모</w:t>
      </w:r>
    </w:p>
    <w:p>
      <w:pPr>
        <w:pStyle w:val="ListParagraph"/>
        <w:numPr>
          <w:ilvl w:val="0"/>
          <w:numId w:val="2"/>
        </w:numPr>
        <w:spacing w:after="80" w:line="276"/>
      </w:pPr>
      <w:r>
        <w:rPr>
          <w:rFonts w:ascii="Malgun Gothic" w:cs="Malgun Gothic" w:eastAsia="Malgun Gothic" w:hAnsi="Malgun Gothic"/>
          <w:color w:val="22201E"/>
          <w:sz w:val="21"/>
          <w:szCs w:val="21"/>
        </w:rPr>
        <w:t xml:space="preserve">5주차 — PER·PBR 상대가치평가 (관통구조 마무리)</w:t>
      </w:r>
    </w:p>
    <w:p>
      <w:pPr>
        <w:pStyle w:val="ListParagraph"/>
        <w:numPr>
          <w:ilvl w:val="0"/>
          <w:numId w:val="2"/>
        </w:numPr>
        <w:spacing w:after="80" w:line="276"/>
      </w:pPr>
      <w:r>
        <w:rPr>
          <w:rFonts w:ascii="Malgun Gothic" w:cs="Malgun Gothic" w:eastAsia="Malgun Gothic" w:hAnsi="Malgun Gothic"/>
          <w:color w:val="22201E"/>
          <w:sz w:val="21"/>
          <w:szCs w:val="21"/>
        </w:rPr>
        <w:t xml:space="preserve">8주차 — 투자의견 &amp; 결론 (가상 펀드 피칭 요약)</w:t>
      </w: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1. 기업 개요 &amp; 비즈니스모델(BM) 분석</w:t>
      </w:r>
    </w:p>
    <w:p>
      <w:pPr>
        <w:spacing w:after="80" w:before="60"/>
      </w:pPr>
      <w:r>
        <w:rPr>
          <w:rFonts w:ascii="Malgun Gothic" w:cs="Malgun Gothic" w:eastAsia="Malgun Gothic" w:hAnsi="Malgun Gothic"/>
          <w:b/>
          <w:bCs/>
          <w:color w:val="8C1D2B"/>
          <w:sz w:val="18"/>
          <w:szCs w:val="18"/>
        </w:rPr>
        <w:t xml:space="preserve">2주차 연계 — "생활 속 기업 찾기 &amp; BM 분석"</w:t>
      </w:r>
    </w:p>
    <w:tbl>
      <w:tblPr>
        <w:tblW w:type="dxa" w:w="8700"/>
        <w:tblBorders>
          <w:top w:val="single" w:color="D9D2C4" w:sz="4"/>
          <w:left w:val="single" w:color="D9D2C4" w:sz="4"/>
          <w:bottom w:val="single" w:color="D9D2C4" w:sz="4"/>
          <w:right w:val="single" w:color="D9D2C4" w:sz="4"/>
          <w:insideH w:val="single" w:color="D9D2C4" w:sz="4"/>
          <w:insideV w:val="single" w:color="D9D2C4" w:sz="4"/>
        </w:tblBorders>
      </w:tblPr>
      <w:tblGrid>
        <w:gridCol w:w="2400"/>
        <w:gridCol w:w="6300"/>
      </w:tblGrid>
      <w:tr>
        <w:trPr>
          <w:tblHeader/>
        </w:trPr>
        <w:tc>
          <w:tcPr>
            <w:tcW w:type="dxa" w:w="2400"/>
            <w:shd w:fill="1B2340"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FFFFFF"/>
                <w:sz w:val="19"/>
                <w:szCs w:val="19"/>
              </w:rPr>
              <w:t xml:space="preserve">항목</w:t>
            </w:r>
          </w:p>
        </w:tc>
        <w:tc>
          <w:tcPr>
            <w:tcW w:type="dxa" w:w="6300"/>
            <w:shd w:fill="1B2340"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FFFFFF"/>
                <w:sz w:val="19"/>
                <w:szCs w:val="19"/>
              </w:rPr>
              <w:t xml:space="preserve">내용</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종목코드 / 시장</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005930 · 유가증권시장(코스피)</w:t>
            </w:r>
          </w:p>
        </w:tc>
      </w:tr>
      <w:tr>
        <w:tc>
          <w:tcPr>
            <w:tcW w:type="dxa" w:w="24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업종</w:t>
            </w:r>
          </w:p>
        </w:tc>
        <w:tc>
          <w:tcPr>
            <w:tcW w:type="dxa" w:w="6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전자·반도체 (통신 및 방송 장비 제조업)</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주요 사업부문</w:t>
            </w:r>
          </w:p>
        </w:tc>
        <w:tc>
          <w:tcPr>
            <w:tcW w:type="dxa" w:w="63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DS(반도체) · DX(스마트폰·가전) · 디스플레이 · 하만(전장·오디오)</w:t>
            </w:r>
          </w:p>
        </w:tc>
      </w:tr>
      <w:tr>
        <w:tc>
          <w:tcPr>
            <w:tcW w:type="dxa" w:w="24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선정 이유(예시)</w:t>
            </w:r>
          </w:p>
        </w:tc>
        <w:tc>
          <w:tcPr>
            <w:tcW w:type="dxa" w:w="6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평소 사용하는 스마트폰·가전 브랜드에서 출발해, 반도체 업황 뉴스가 매주 등장한다는 점에서 관심기업으로 선정</w:t>
            </w:r>
          </w:p>
        </w:tc>
      </w:tr>
    </w:tbl>
    <w:p>
      <w:pPr>
        <w:spacing w:after="140" w:line="288"/>
      </w:pPr>
      <w:r>
        <w:rPr>
          <w:rFonts w:ascii="Malgun Gothic" w:cs="Malgun Gothic" w:eastAsia="Malgun Gothic" w:hAnsi="Malgun Gothic"/>
          <w:b w:val="false"/>
          <w:bCs w:val="false"/>
          <w:i w:val="false"/>
          <w:iCs w:val="false"/>
          <w:color w:val="22201E"/>
          <w:sz w:val="21"/>
          <w:szCs w:val="21"/>
        </w:rPr>
        <w:t xml:space="preserve"/>
      </w:r>
    </w:p>
    <w:p>
      <w:pPr>
        <w:spacing w:after="140" w:line="288"/>
      </w:pPr>
      <w:r>
        <w:rPr>
          <w:rFonts w:ascii="Malgun Gothic" w:cs="Malgun Gothic" w:eastAsia="Malgun Gothic" w:hAnsi="Malgun Gothic"/>
          <w:b w:val="false"/>
          <w:bCs w:val="false"/>
          <w:i w:val="false"/>
          <w:iCs w:val="false"/>
          <w:color w:val="22201E"/>
          <w:sz w:val="21"/>
          <w:szCs w:val="21"/>
        </w:rPr>
        <w:t xml:space="preserve">삼성전자의 비즈니스모델은 크게 네 축입니다. DS(반도체) 부문은 메모리(D램·낸드)와 파운드리를 아우르며 실적 변동성이 가장 큰 캐시카우입니다. DX 부문은 스마트폰(갤럭시)·TV·가전을 담당하며 브랜드 인지도의 핵심입니다. 디스플레이 부문은 중소형(모바일용)과 대형(모니터·TV용) 패널을, 하만 부문은 전장 오디오·인포테인먼트를 맡고 있습니다.</w:t>
      </w:r>
    </w:p>
    <w:p>
      <w:pPr>
        <w:spacing w:after="140" w:line="288"/>
      </w:pPr>
      <w:r>
        <w:rPr>
          <w:rFonts w:ascii="Malgun Gothic" w:cs="Malgun Gothic" w:eastAsia="Malgun Gothic" w:hAnsi="Malgun Gothic"/>
          <w:b w:val="false"/>
          <w:bCs w:val="false"/>
          <w:i/>
          <w:iCs/>
          <w:color w:val="767066"/>
          <w:sz w:val="21"/>
          <w:szCs w:val="21"/>
        </w:rPr>
        <w:t xml:space="preserve">4개 부문 중 DS가 전체 영업이익의 절대 비중을 차지하는 구조라, 삼성전자를 분석한다는 것은 사실상 메모리 반도체 업황 사이클을 분석하는 것과 크게 다르지 않다는 점을 확인했습니다.</w:t>
      </w:r>
    </w:p>
    <w:p>
      <w:pPr>
        <w:spacing w:after="100" w:before="200"/>
      </w:pPr>
      <w:r>
        <w:rPr>
          <w:rFonts w:ascii="Malgun Gothic" w:cs="Malgun Gothic" w:eastAsia="Malgun Gothic" w:hAnsi="Malgun Gothic"/>
          <w:b/>
          <w:bCs/>
          <w:color w:val="C9A227"/>
          <w:sz w:val="19"/>
          <w:szCs w:val="19"/>
        </w:rPr>
        <w:t xml:space="preserve">표준 워크시트 — 기업개요·BM</w:t>
      </w:r>
    </w:p>
    <w:tbl>
      <w:tblPr>
        <w:tblW w:type="dxa" w:w="9100"/>
        <w:tblBorders>
          <w:top w:val="single" w:color="D9D2C4" w:sz="4"/>
          <w:left w:val="single" w:color="D9D2C4" w:sz="4"/>
          <w:bottom w:val="single" w:color="D9D2C4" w:sz="4"/>
          <w:right w:val="single" w:color="D9D2C4" w:sz="4"/>
          <w:insideH w:val="single" w:color="D9D2C4" w:sz="4"/>
          <w:insideV w:val="single" w:color="D9D2C4" w:sz="4"/>
        </w:tblBorders>
      </w:tblPr>
      <w:tblGrid>
        <w:gridCol w:w="2200"/>
        <w:gridCol w:w="6900"/>
      </w:tblGrid>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핵심 개념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비즈니스모델(BM)이란 기업이 어떤 방식으로 가치를 만들고 돈을 버는지를 나타내는 구조입니다.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내 분석</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삼성전자는 4개 사업부문 중 DS(반도체)가 이익의 대부분을 차지하는 "반도체 사이클 기업"에 가깝다는 것을 확인했습니다. DX·디스플레이·하만은 매출 비중은 크지만 이익 기여도는 상대적으로 낮았습니다.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배운 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매출액 비중과 영업이익 비중이 다를 수 있다는 것, 그리고 한 기업이라도 사업부문별로 완전히 다른 업황 사이클을 탄다는 것을 배웠습니다.</w:t>
            </w:r>
          </w:p>
        </w:tc>
      </w:tr>
    </w:tbl>
    <w:p>
      <w:pPr>
        <w:spacing w:after="160"/>
      </w:pP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2. 재무제표 분석</w:t>
      </w:r>
    </w:p>
    <w:p>
      <w:pPr>
        <w:spacing w:after="80" w:before="60"/>
      </w:pPr>
      <w:r>
        <w:rPr>
          <w:rFonts w:ascii="Malgun Gothic" w:cs="Malgun Gothic" w:eastAsia="Malgun Gothic" w:hAnsi="Malgun Gothic"/>
          <w:b/>
          <w:bCs/>
          <w:color w:val="8C1D2B"/>
          <w:sz w:val="18"/>
          <w:szCs w:val="18"/>
        </w:rPr>
        <w:t xml:space="preserve">3주차 연계 — "재무제표 읽기"</w:t>
      </w:r>
    </w:p>
    <w:p>
      <w:pPr>
        <w:spacing w:after="140" w:line="288"/>
      </w:pPr>
      <w:r>
        <w:rPr>
          <w:rFonts w:ascii="Malgun Gothic" w:cs="Malgun Gothic" w:eastAsia="Malgun Gothic" w:hAnsi="Malgun Gothic"/>
          <w:b w:val="false"/>
          <w:bCs w:val="false"/>
          <w:i w:val="false"/>
          <w:iCs w:val="false"/>
          <w:color w:val="22201E"/>
          <w:sz w:val="21"/>
          <w:szCs w:val="21"/>
        </w:rPr>
        <w:t xml:space="preserve">2026년 2분기(연결 기준) 실적을 부문별로 정리했습니다. (자료: 삼성전자 뉴스룸 2분기 실적발표)</w:t>
      </w:r>
    </w:p>
    <w:tbl>
      <w:tblPr>
        <w:tblW w:type="dxa" w:w="9300"/>
        <w:tblBorders>
          <w:top w:val="single" w:color="D9D2C4" w:sz="4"/>
          <w:left w:val="single" w:color="D9D2C4" w:sz="4"/>
          <w:bottom w:val="single" w:color="D9D2C4" w:sz="4"/>
          <w:right w:val="single" w:color="D9D2C4" w:sz="4"/>
          <w:insideH w:val="single" w:color="D9D2C4" w:sz="4"/>
          <w:insideV w:val="single" w:color="D9D2C4" w:sz="4"/>
        </w:tblBorders>
      </w:tblPr>
      <w:tblGrid>
        <w:gridCol w:w="3300"/>
        <w:gridCol w:w="3000"/>
        <w:gridCol w:w="3000"/>
      </w:tblGrid>
      <w:tr>
        <w:trPr>
          <w:tblHeader/>
        </w:trPr>
        <w:tc>
          <w:tcPr>
            <w:tcW w:type="dxa" w:w="3300"/>
            <w:shd w:fill="1B2340"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FFFFFF"/>
                <w:sz w:val="19"/>
                <w:szCs w:val="19"/>
              </w:rPr>
              <w:t xml:space="preserve">부문</w:t>
            </w:r>
          </w:p>
        </w:tc>
        <w:tc>
          <w:tcPr>
            <w:tcW w:type="dxa" w:w="30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매출액</w:t>
            </w:r>
          </w:p>
        </w:tc>
        <w:tc>
          <w:tcPr>
            <w:tcW w:type="dxa" w:w="30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영업이익</w:t>
            </w:r>
          </w:p>
        </w:tc>
      </w:tr>
      <w:tr>
        <w:tc>
          <w:tcPr>
            <w:tcW w:type="dxa" w:w="33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DS (반도체)</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127.5조원</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89.2조원</w:t>
            </w:r>
          </w:p>
        </w:tc>
      </w:tr>
      <w:tr>
        <w:tc>
          <w:tcPr>
            <w:tcW w:type="dxa" w:w="3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DX (스마트폰·가전)</w:t>
            </w:r>
          </w:p>
        </w:tc>
        <w:tc>
          <w:tcPr>
            <w:tcW w:type="dxa" w:w="30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48.0조원</w:t>
            </w:r>
          </w:p>
        </w:tc>
        <w:tc>
          <w:tcPr>
            <w:tcW w:type="dxa" w:w="30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-0.8조원</w:t>
            </w:r>
          </w:p>
        </w:tc>
      </w:tr>
      <w:tr>
        <w:tc>
          <w:tcPr>
            <w:tcW w:type="dxa" w:w="33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디스플레이</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7.5조원</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0.7조원</w:t>
            </w:r>
          </w:p>
        </w:tc>
      </w:tr>
      <w:tr>
        <w:tc>
          <w:tcPr>
            <w:tcW w:type="dxa" w:w="3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하만</w:t>
            </w:r>
          </w:p>
        </w:tc>
        <w:tc>
          <w:tcPr>
            <w:tcW w:type="dxa" w:w="30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4.6조원</w:t>
            </w:r>
          </w:p>
        </w:tc>
        <w:tc>
          <w:tcPr>
            <w:tcW w:type="dxa" w:w="30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0.4조원</w:t>
            </w:r>
          </w:p>
        </w:tc>
      </w:tr>
      <w:tr>
        <w:tc>
          <w:tcPr>
            <w:tcW w:type="dxa" w:w="33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전사 합계</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171.5조원</w:t>
            </w:r>
          </w:p>
        </w:tc>
        <w:tc>
          <w:tcPr>
            <w:tcW w:type="dxa" w:w="30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89.5조원</w:t>
            </w:r>
          </w:p>
        </w:tc>
      </w:tr>
    </w:tbl>
    <w:p>
      <w:pPr>
        <w:spacing w:after="140" w:line="288"/>
      </w:pPr>
      <w:r>
        <w:rPr>
          <w:rFonts w:ascii="Malgun Gothic" w:cs="Malgun Gothic" w:eastAsia="Malgun Gothic" w:hAnsi="Malgun Gothic"/>
          <w:b w:val="false"/>
          <w:bCs w:val="false"/>
          <w:i w:val="false"/>
          <w:iCs w:val="false"/>
          <w:color w:val="22201E"/>
          <w:sz w:val="21"/>
          <w:szCs w:val="21"/>
        </w:rPr>
        <w:t xml:space="preserve"/>
      </w:r>
    </w:p>
    <w:p>
      <w:pPr>
        <w:spacing w:after="140" w:line="288"/>
      </w:pPr>
      <w:r>
        <w:rPr>
          <w:rFonts w:ascii="Malgun Gothic" w:cs="Malgun Gothic" w:eastAsia="Malgun Gothic" w:hAnsi="Malgun Gothic"/>
          <w:b w:val="false"/>
          <w:bCs w:val="false"/>
          <w:i w:val="false"/>
          <w:iCs w:val="false"/>
          <w:color w:val="22201E"/>
          <w:sz w:val="21"/>
          <w:szCs w:val="21"/>
        </w:rPr>
        <w:t xml:space="preserve">전분기 대비 매출은 28%, 영업이익은 56% 증가했습니다. DS 부문이 메모리 슈퍼사이클(HBM 등 고부가 제품 수요 확대)에 힘입어 역대급 실적을 낸 반면, DX 부문은 이번 분기 적자를 기록해 부문 간 온도차가 뚜렷했습니다.</w:t>
      </w:r>
    </w:p>
    <w:p>
      <w:pPr>
        <w:spacing w:after="100" w:before="200"/>
      </w:pPr>
      <w:r>
        <w:rPr>
          <w:rFonts w:ascii="Malgun Gothic" w:cs="Malgun Gothic" w:eastAsia="Malgun Gothic" w:hAnsi="Malgun Gothic"/>
          <w:b/>
          <w:bCs/>
          <w:color w:val="C9A227"/>
          <w:sz w:val="19"/>
          <w:szCs w:val="19"/>
        </w:rPr>
        <w:t xml:space="preserve">표준 워크시트 — 재무제표</w:t>
      </w:r>
    </w:p>
    <w:tbl>
      <w:tblPr>
        <w:tblW w:type="dxa" w:w="9100"/>
        <w:tblBorders>
          <w:top w:val="single" w:color="D9D2C4" w:sz="4"/>
          <w:left w:val="single" w:color="D9D2C4" w:sz="4"/>
          <w:bottom w:val="single" w:color="D9D2C4" w:sz="4"/>
          <w:right w:val="single" w:color="D9D2C4" w:sz="4"/>
          <w:insideH w:val="single" w:color="D9D2C4" w:sz="4"/>
          <w:insideV w:val="single" w:color="D9D2C4" w:sz="4"/>
        </w:tblBorders>
      </w:tblPr>
      <w:tblGrid>
        <w:gridCol w:w="2200"/>
        <w:gridCol w:w="6900"/>
      </w:tblGrid>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핵심 개념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연결 손익계산서의 매출액·영업이익은 기업 전체의 수익성을, 부문별 실적은 어느 사업이 실제로 돈을 버는지를 보여줍니다.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내 분석</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전사 영업이익 89.5조원 중 DS 부문이 89.2조원으로 거의 전부를 차지했습니다. DX 부문은 매출 규모(48조원)에 비해 이익 기여가 거의 없다는 점이 예상과 달랐습니다.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배운 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"매출이 큰 사업 = 돈을 많이 버는 사업"이 아니라는 것을 숫자로 확인했습니다. 앞으로는 매출액과 영업이익률을 함께 봐야겠다고 생각했습니다.</w:t>
            </w:r>
          </w:p>
        </w:tc>
      </w:tr>
    </w:tbl>
    <w:p>
      <w:pPr>
        <w:spacing w:after="160"/>
      </w:pP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3. 시가총액 &amp; 기업 규모</w:t>
      </w:r>
    </w:p>
    <w:p>
      <w:pPr>
        <w:spacing w:after="80" w:before="60"/>
      </w:pPr>
      <w:r>
        <w:rPr>
          <w:rFonts w:ascii="Malgun Gothic" w:cs="Malgun Gothic" w:eastAsia="Malgun Gothic" w:hAnsi="Malgun Gothic"/>
          <w:b/>
          <w:bCs/>
          <w:color w:val="8C1D2B"/>
          <w:sz w:val="18"/>
          <w:szCs w:val="18"/>
        </w:rPr>
        <w:t xml:space="preserve">4주차 연계 — "시가총액 &amp; 기업 규모"</w:t>
      </w:r>
    </w:p>
    <w:tbl>
      <w:tblPr>
        <w:tblW w:type="dxa" w:w="9000"/>
        <w:tblBorders>
          <w:top w:val="single" w:color="D9D2C4" w:sz="4"/>
          <w:left w:val="single" w:color="D9D2C4" w:sz="4"/>
          <w:bottom w:val="single" w:color="D9D2C4" w:sz="4"/>
          <w:right w:val="single" w:color="D9D2C4" w:sz="4"/>
          <w:insideH w:val="single" w:color="D9D2C4" w:sz="4"/>
          <w:insideV w:val="single" w:color="D9D2C4" w:sz="4"/>
        </w:tblBorders>
      </w:tblPr>
      <w:tblGrid>
        <w:gridCol w:w="3300"/>
        <w:gridCol w:w="5700"/>
      </w:tblGrid>
      <w:tr>
        <w:trPr>
          <w:tblHeader/>
        </w:trPr>
        <w:tc>
          <w:tcPr>
            <w:tcW w:type="dxa" w:w="3300"/>
            <w:shd w:fill="1B2340"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FFFFFF"/>
                <w:sz w:val="19"/>
                <w:szCs w:val="19"/>
              </w:rPr>
              <w:t xml:space="preserve">항목</w:t>
            </w:r>
          </w:p>
        </w:tc>
        <w:tc>
          <w:tcPr>
            <w:tcW w:type="dxa" w:w="57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수치</w:t>
            </w:r>
          </w:p>
        </w:tc>
      </w:tr>
      <w:tr>
        <w:tc>
          <w:tcPr>
            <w:tcW w:type="dxa" w:w="33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주가 (2026.08.20 기준)</w:t>
            </w:r>
          </w:p>
        </w:tc>
        <w:tc>
          <w:tcPr>
            <w:tcW w:type="dxa" w:w="57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약 260,000원</w:t>
            </w:r>
          </w:p>
        </w:tc>
      </w:tr>
      <w:tr>
        <w:tc>
          <w:tcPr>
            <w:tcW w:type="dxa" w:w="3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시가총액</w:t>
            </w:r>
          </w:p>
        </w:tc>
        <w:tc>
          <w:tcPr>
            <w:tcW w:type="dxa" w:w="57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약 1,500조원</w:t>
            </w:r>
          </w:p>
        </w:tc>
      </w:tr>
      <w:tr>
        <w:tc>
          <w:tcPr>
            <w:tcW w:type="dxa" w:w="33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52주 최고 / 최저</w:t>
            </w:r>
          </w:p>
        </w:tc>
        <w:tc>
          <w:tcPr>
            <w:tcW w:type="dxa" w:w="57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380,000원 / 67,500원</w:t>
            </w:r>
          </w:p>
        </w:tc>
      </w:tr>
      <w:tr>
        <w:tc>
          <w:tcPr>
            <w:tcW w:type="dxa" w:w="33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시장 내 위치</w:t>
            </w:r>
          </w:p>
        </w:tc>
        <w:tc>
          <w:tcPr>
            <w:tcW w:type="dxa" w:w="57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코스피 시가총액 1위</w:t>
            </w:r>
          </w:p>
        </w:tc>
      </w:tr>
    </w:tbl>
    <w:p>
      <w:pPr>
        <w:spacing w:after="140" w:line="288"/>
      </w:pPr>
      <w:r>
        <w:rPr>
          <w:rFonts w:ascii="Malgun Gothic" w:cs="Malgun Gothic" w:eastAsia="Malgun Gothic" w:hAnsi="Malgun Gothic"/>
          <w:b w:val="false"/>
          <w:bCs w:val="false"/>
          <w:i w:val="false"/>
          <w:iCs w:val="false"/>
          <w:color w:val="22201E"/>
          <w:sz w:val="21"/>
          <w:szCs w:val="21"/>
        </w:rPr>
        <w:t xml:space="preserve"/>
      </w:r>
    </w:p>
    <w:p>
      <w:pPr>
        <w:spacing w:after="140" w:line="288"/>
      </w:pPr>
      <w:r>
        <w:rPr>
          <w:rFonts w:ascii="Malgun Gothic" w:cs="Malgun Gothic" w:eastAsia="Malgun Gothic" w:hAnsi="Malgun Gothic"/>
          <w:b w:val="false"/>
          <w:bCs w:val="false"/>
          <w:i w:val="false"/>
          <w:iCs w:val="false"/>
          <w:color w:val="22201E"/>
          <w:sz w:val="21"/>
          <w:szCs w:val="21"/>
        </w:rPr>
        <w:t xml:space="preserve">시가총액은 "주가 × 발행주식수"로, 시장이 그 기업 전체의 가치를 얼마로 평가하는지를 보여주는 지표입니다. 52주 최고가(380,000원) 대비 현재 주가는 약 68% 수준으로, 올해 상반기 급등 이후 일부 조정을 받은 구간에 있다는 것을 확인했습니다.</w:t>
      </w:r>
    </w:p>
    <w:p>
      <w:pPr>
        <w:spacing w:after="100" w:before="200"/>
      </w:pPr>
      <w:r>
        <w:rPr>
          <w:rFonts w:ascii="Malgun Gothic" w:cs="Malgun Gothic" w:eastAsia="Malgun Gothic" w:hAnsi="Malgun Gothic"/>
          <w:b/>
          <w:bCs/>
          <w:color w:val="C9A227"/>
          <w:sz w:val="19"/>
          <w:szCs w:val="19"/>
        </w:rPr>
        <w:t xml:space="preserve">표준 워크시트 — 시가총액</w:t>
      </w:r>
    </w:p>
    <w:tbl>
      <w:tblPr>
        <w:tblW w:type="dxa" w:w="9100"/>
        <w:tblBorders>
          <w:top w:val="single" w:color="D9D2C4" w:sz="4"/>
          <w:left w:val="single" w:color="D9D2C4" w:sz="4"/>
          <w:bottom w:val="single" w:color="D9D2C4" w:sz="4"/>
          <w:right w:val="single" w:color="D9D2C4" w:sz="4"/>
          <w:insideH w:val="single" w:color="D9D2C4" w:sz="4"/>
          <w:insideV w:val="single" w:color="D9D2C4" w:sz="4"/>
        </w:tblBorders>
      </w:tblPr>
      <w:tblGrid>
        <w:gridCol w:w="2200"/>
        <w:gridCol w:w="6900"/>
      </w:tblGrid>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핵심 개념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시가총액 = 주가 × 발행주식수. 기업 규모와 시장의 기대치를 함께 반영하는 지표입니다.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내 분석</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삼성전자는 코스피 시가총액 1위이며, 52주 변동폭이 67,500원~380,000원으로 매우 컸습니다. 반도체 업황 기대감이 주가에 크게 반영된다는 점을 확인했습니다.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배운 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시가총액이 크다고 주가 변동성이 작은 것은 아니라는 점, 대형주도 업황 사이클에 따라 크게 출렁일 수 있다는 점을 배웠습니다.</w:t>
            </w:r>
          </w:p>
        </w:tc>
      </w:tr>
    </w:tbl>
    <w:p>
      <w:pPr>
        <w:spacing w:after="160"/>
      </w:pP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4. PER·PBR 상대가치평가</w:t>
      </w:r>
    </w:p>
    <w:p>
      <w:pPr>
        <w:spacing w:after="80" w:before="60"/>
      </w:pPr>
      <w:r>
        <w:rPr>
          <w:rFonts w:ascii="Malgun Gothic" w:cs="Malgun Gothic" w:eastAsia="Malgun Gothic" w:hAnsi="Malgun Gothic"/>
          <w:b/>
          <w:bCs/>
          <w:color w:val="8C1D2B"/>
          <w:sz w:val="18"/>
          <w:szCs w:val="18"/>
        </w:rPr>
        <w:t xml:space="preserve">5주차 연계 — "PER·PBR 상대평가" (관통구조 마무리)</w:t>
      </w:r>
    </w:p>
    <w:p>
      <w:pPr>
        <w:spacing w:after="140" w:line="288"/>
      </w:pPr>
      <w:r>
        <w:rPr>
          <w:rFonts w:ascii="Malgun Gothic" w:cs="Malgun Gothic" w:eastAsia="Malgun Gothic" w:hAnsi="Malgun Gothic"/>
          <w:b w:val="false"/>
          <w:bCs w:val="false"/>
          <w:i w:val="false"/>
          <w:iCs w:val="false"/>
          <w:color w:val="22201E"/>
          <w:sz w:val="21"/>
          <w:szCs w:val="21"/>
        </w:rPr>
        <w:t xml:space="preserve">동일 업종 내 비교기업으로 SK하이닉스를 선정해 상대가치를 비교했습니다.</w:t>
      </w:r>
    </w:p>
    <w:tbl>
      <w:tblPr>
        <w:tblW w:type="dxa" w:w="9300"/>
        <w:tblBorders>
          <w:top w:val="single" w:color="D9D2C4" w:sz="4"/>
          <w:left w:val="single" w:color="D9D2C4" w:sz="4"/>
          <w:bottom w:val="single" w:color="D9D2C4" w:sz="4"/>
          <w:right w:val="single" w:color="D9D2C4" w:sz="4"/>
          <w:insideH w:val="single" w:color="D9D2C4" w:sz="4"/>
          <w:insideV w:val="single" w:color="D9D2C4" w:sz="4"/>
        </w:tblBorders>
      </w:tblPr>
      <w:tblGrid>
        <w:gridCol w:w="2400"/>
        <w:gridCol w:w="2200"/>
        <w:gridCol w:w="2200"/>
        <w:gridCol w:w="2500"/>
      </w:tblGrid>
      <w:tr>
        <w:trPr>
          <w:tblHeader/>
        </w:trPr>
        <w:tc>
          <w:tcPr>
            <w:tcW w:type="dxa" w:w="2400"/>
            <w:shd w:fill="1B2340"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FFFFFF"/>
                <w:sz w:val="19"/>
                <w:szCs w:val="19"/>
              </w:rPr>
              <w:t xml:space="preserve">구분</w:t>
            </w:r>
          </w:p>
        </w:tc>
        <w:tc>
          <w:tcPr>
            <w:tcW w:type="dxa" w:w="22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PER (배)</w:t>
            </w:r>
          </w:p>
        </w:tc>
        <w:tc>
          <w:tcPr>
            <w:tcW w:type="dxa" w:w="22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PBR (배)</w:t>
            </w:r>
          </w:p>
        </w:tc>
        <w:tc>
          <w:tcPr>
            <w:tcW w:type="dxa" w:w="2500"/>
            <w:shd w:fill="1B2340" w:color="auto" w:val="clear"/>
            <w:tcMar>
              <w:top w:type="dxa" w:w="100"/>
              <w:left w:type="dxa" w:w="120"/>
              <w:bottom w:type="dxa" w:w="100"/>
              <w:right w:type="dxa" w:w="120"/>
            </w:tcMar>
            <w:vAlign w:val="center"/>
          </w:tcPr>
          <w:p>
            <w:pPr>
              <w:jc w:val="right"/>
            </w:pPr>
            <w:r>
              <w:rPr>
                <w:rFonts w:ascii="Malgun Gothic" w:cs="Malgun Gothic" w:eastAsia="Malgun Gothic" w:hAnsi="Malgun Gothic"/>
                <w:b/>
                <w:bCs/>
                <w:color w:val="FFFFFF"/>
                <w:sz w:val="19"/>
                <w:szCs w:val="19"/>
              </w:rPr>
              <w:t xml:space="preserve">시가총액</w:t>
            </w:r>
          </w:p>
        </w:tc>
      </w:tr>
      <w:tr>
        <w:tc>
          <w:tcPr>
            <w:tcW w:type="dxa" w:w="2400"/>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삼성전자</w:t>
            </w:r>
          </w:p>
        </w:tc>
        <w:tc>
          <w:tcPr>
            <w:tcW w:type="dxa" w:w="22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20.8</w:t>
            </w:r>
          </w:p>
        </w:tc>
        <w:tc>
          <w:tcPr>
            <w:tcW w:type="dxa" w:w="22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4.0</w:t>
            </w:r>
          </w:p>
        </w:tc>
        <w:tc>
          <w:tcPr>
            <w:tcW w:type="dxa" w:w="2500"/>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약 1,500조원</w:t>
            </w:r>
          </w:p>
        </w:tc>
      </w:tr>
      <w:tr>
        <w:tc>
          <w:tcPr>
            <w:tcW w:type="dxa" w:w="24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22201E"/>
                <w:sz w:val="19"/>
                <w:szCs w:val="19"/>
              </w:rPr>
              <w:t xml:space="preserve">SK하이닉스</w:t>
            </w:r>
          </w:p>
        </w:tc>
        <w:tc>
          <w:tcPr>
            <w:tcW w:type="dxa" w:w="22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11.0</w:t>
            </w:r>
          </w:p>
        </w:tc>
        <w:tc>
          <w:tcPr>
            <w:tcW w:type="dxa" w:w="22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3.8</w:t>
            </w:r>
          </w:p>
        </w:tc>
        <w:tc>
          <w:tcPr>
            <w:tcW w:type="dxa" w:w="2500"/>
            <w:shd w:fill="FAF7F2" w:color="auto" w:val="clear"/>
            <w:tcMar>
              <w:top w:type="dxa" w:w="100"/>
              <w:left w:type="dxa" w:w="120"/>
              <w:bottom w:type="dxa" w:w="100"/>
              <w:right w:type="dxa" w:w="120"/>
            </w:tcMar>
            <w:vAlign w:val="center"/>
          </w:tcPr>
          <w:p>
            <w:pPr>
              <w:jc w:val="right"/>
            </w:pPr>
            <w:r>
              <w:rPr>
                <w:rFonts w:ascii="Malgun Gothic" w:cs="Malgun Gothic" w:eastAsia="Malgun Gothic" w:hAnsi="Malgun Gothic"/>
                <w:b w:val="false"/>
                <w:bCs w:val="false"/>
                <w:color w:val="22201E"/>
                <w:sz w:val="19"/>
                <w:szCs w:val="19"/>
              </w:rPr>
              <w:t xml:space="preserve">약 1,096조원</w:t>
            </w:r>
          </w:p>
        </w:tc>
      </w:tr>
    </w:tbl>
    <w:p>
      <w:pPr>
        <w:spacing w:after="140" w:line="288"/>
      </w:pPr>
      <w:r>
        <w:rPr>
          <w:rFonts w:ascii="Malgun Gothic" w:cs="Malgun Gothic" w:eastAsia="Malgun Gothic" w:hAnsi="Malgun Gothic"/>
          <w:b w:val="false"/>
          <w:bCs w:val="false"/>
          <w:i w:val="false"/>
          <w:iCs w:val="false"/>
          <w:color w:val="22201E"/>
          <w:sz w:val="21"/>
          <w:szCs w:val="21"/>
        </w:rPr>
        <w:t xml:space="preserve"/>
      </w:r>
    </w:p>
    <w:p>
      <w:pPr>
        <w:spacing w:after="140" w:line="288"/>
      </w:pPr>
      <w:r>
        <w:rPr>
          <w:rFonts w:ascii="Malgun Gothic" w:cs="Malgun Gothic" w:eastAsia="Malgun Gothic" w:hAnsi="Malgun Gothic"/>
          <w:b w:val="false"/>
          <w:bCs w:val="false"/>
          <w:i w:val="false"/>
          <w:iCs w:val="false"/>
          <w:color w:val="22201E"/>
          <w:sz w:val="21"/>
          <w:szCs w:val="21"/>
        </w:rPr>
        <w:t xml:space="preserve">PER은 주가를 주당순이익으로 나눈 값으로, 이익 대비 주가가 몇 배인지를 보여줍니다. PBR은 주가를 주당순자산으로 나눈 값입니다. 같은 반도체 업종이지만 삼성전자의 PER(20.8배)이 SK하이닉스(11.0배)보다 높게 형성되어 있는데, 이는 DS 외에도 DX·디스플레이·하만 등 사업 다각화 프리미엄과 이번 분기 DX 부문 적자로 인해 순이익 기준 배수가 상대적으로 높게 계산된 영향으로 해석했습니다. PBR은 두 기업 모두 3~4배 수준으로 비슷하게 형성되어 있습니다.</w:t>
      </w:r>
    </w:p>
    <w:p>
      <w:pPr>
        <w:spacing w:after="100" w:before="200"/>
      </w:pPr>
      <w:r>
        <w:rPr>
          <w:rFonts w:ascii="Malgun Gothic" w:cs="Malgun Gothic" w:eastAsia="Malgun Gothic" w:hAnsi="Malgun Gothic"/>
          <w:b/>
          <w:bCs/>
          <w:color w:val="C9A227"/>
          <w:sz w:val="19"/>
          <w:szCs w:val="19"/>
        </w:rPr>
        <w:t xml:space="preserve">표준 워크시트 — PER·PBR 상대평가</w:t>
      </w:r>
    </w:p>
    <w:tbl>
      <w:tblPr>
        <w:tblW w:type="dxa" w:w="9100"/>
        <w:tblBorders>
          <w:top w:val="single" w:color="D9D2C4" w:sz="4"/>
          <w:left w:val="single" w:color="D9D2C4" w:sz="4"/>
          <w:bottom w:val="single" w:color="D9D2C4" w:sz="4"/>
          <w:right w:val="single" w:color="D9D2C4" w:sz="4"/>
          <w:insideH w:val="single" w:color="D9D2C4" w:sz="4"/>
          <w:insideV w:val="single" w:color="D9D2C4" w:sz="4"/>
        </w:tblBorders>
      </w:tblPr>
      <w:tblGrid>
        <w:gridCol w:w="2200"/>
        <w:gridCol w:w="6900"/>
      </w:tblGrid>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핵심 개념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PER·PBR은 절대적인 고평가·저평가를 말해주지 않으며, 반드시 동종업계 비교기업과 함께 봐야 의미가 있습니다.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내 분석</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SK하이닉스 대비 삼성전자의 PER이 약 1.9배 높게 형성되어 있었습니다. 단순히 "PER이 낮으면 저평가"라고 결론 내리기보다, 사업구조 차이(다각화 여부)와 최근 분기 이익 변동을 함께 고려해야 한다고 판단했습니다.</w:t>
            </w:r>
          </w:p>
        </w:tc>
      </w:tr>
      <w:tr>
        <w:tc>
          <w:tcPr>
            <w:tcW w:type="dxa" w:w="2200"/>
            <w:shd w:fill="FAF7F2" w:color="auto" w:val="clear"/>
            <w:tcMar>
              <w:top w:type="dxa" w:w="100"/>
              <w:left w:type="dxa" w:w="120"/>
              <w:bottom w:type="dxa" w:w="100"/>
              <w:right w:type="dxa" w:w="120"/>
            </w:tcMar>
            <w:vAlign w:val="center"/>
          </w:tcPr>
          <w:p>
            <w:pPr>
              <w:jc w:val="left"/>
            </w:pPr>
            <w:r>
              <w:rPr>
                <w:rFonts w:ascii="Malgun Gothic" w:cs="Malgun Gothic" w:eastAsia="Malgun Gothic" w:hAnsi="Malgun Gothic"/>
                <w:b/>
                <w:bCs/>
                <w:color w:val="1B2340"/>
                <w:sz w:val="19"/>
                <w:szCs w:val="19"/>
              </w:rPr>
              <w:t xml:space="preserve">배운 점</w:t>
            </w:r>
          </w:p>
        </w:tc>
        <w:tc>
          <w:tcPr>
            <w:tcW w:type="dxa" w:w="6900"/>
            <w:tcMar>
              <w:top w:type="dxa" w:w="100"/>
              <w:left w:type="dxa" w:w="120"/>
              <w:bottom w:type="dxa" w:w="100"/>
              <w:right w:type="dxa" w:w="120"/>
            </w:tcMar>
            <w:vAlign w:val="center"/>
          </w:tcPr>
          <w:p>
            <w:pPr>
              <w:jc w:val="left"/>
            </w:pPr>
            <w:r>
              <w:rPr>
                <w:rFonts w:ascii="Malgun Gothic" w:cs="Malgun Gothic" w:eastAsia="Malgun Gothic" w:hAnsi="Malgun Gothic"/>
                <w:b w:val="false"/>
                <w:bCs w:val="false"/>
                <w:color w:val="22201E"/>
                <w:sz w:val="19"/>
                <w:szCs w:val="19"/>
              </w:rPr>
              <w:t xml:space="preserve">상대가치평가는 숫자 하나만 보는 게 아니라, "왜 그 배수가 나왔는가"를 사업구조와 함께 설명할 수 있어야 한다는 것을 배웠습니다.</w:t>
            </w:r>
          </w:p>
        </w:tc>
      </w:tr>
    </w:tbl>
    <w:p>
      <w:pPr>
        <w:spacing w:after="160"/>
      </w:pP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5. 투자의견 &amp; 결론</w:t>
      </w:r>
    </w:p>
    <w:p>
      <w:pPr>
        <w:spacing w:after="80" w:before="60"/>
      </w:pPr>
      <w:r>
        <w:rPr>
          <w:rFonts w:ascii="Malgun Gothic" w:cs="Malgun Gothic" w:eastAsia="Malgun Gothic" w:hAnsi="Malgun Gothic"/>
          <w:b/>
          <w:bCs/>
          <w:color w:val="8C1D2B"/>
          <w:sz w:val="18"/>
          <w:szCs w:val="18"/>
        </w:rPr>
        <w:t xml:space="preserve">8주차 연계 — 가상 펀드 피칭 데이 요약</w:t>
      </w:r>
    </w:p>
    <w:p>
      <w:pPr>
        <w:spacing w:after="60" w:before="100"/>
      </w:pPr>
      <w:r>
        <w:rPr>
          <w:rFonts w:ascii="Malgun Gothic" w:cs="Malgun Gothic" w:eastAsia="Malgun Gothic" w:hAnsi="Malgun Gothic"/>
          <w:b/>
          <w:bCs/>
          <w:color w:val="1B2340"/>
          <w:sz w:val="20"/>
          <w:szCs w:val="20"/>
        </w:rPr>
        <w:t xml:space="preserve">투자 매력 요인</w:t>
      </w:r>
    </w:p>
    <w:p>
      <w:pPr>
        <w:pStyle w:val="ListParagraph"/>
        <w:numPr>
          <w:ilvl w:val="0"/>
          <w:numId w:val="2"/>
        </w:numPr>
        <w:spacing w:after="80" w:line="276"/>
      </w:pPr>
      <w:r>
        <w:rPr>
          <w:rFonts w:ascii="Malgun Gothic" w:cs="Malgun Gothic" w:eastAsia="Malgun Gothic" w:hAnsi="Malgun Gothic"/>
          <w:color w:val="22201E"/>
          <w:sz w:val="21"/>
          <w:szCs w:val="21"/>
        </w:rPr>
        <w:t xml:space="preserve">DS 부문의 메모리 슈퍼사이클 — HBM 등 고부가 제품 중심으로 역대 최대 분기 영업이익 달성</w:t>
      </w:r>
    </w:p>
    <w:p>
      <w:pPr>
        <w:pStyle w:val="ListParagraph"/>
        <w:numPr>
          <w:ilvl w:val="0"/>
          <w:numId w:val="2"/>
        </w:numPr>
        <w:spacing w:after="80" w:line="276"/>
      </w:pPr>
      <w:r>
        <w:rPr>
          <w:rFonts w:ascii="Malgun Gothic" w:cs="Malgun Gothic" w:eastAsia="Malgun Gothic" w:hAnsi="Malgun Gothic"/>
          <w:color w:val="22201E"/>
          <w:sz w:val="21"/>
          <w:szCs w:val="21"/>
        </w:rPr>
        <w:t xml:space="preserve">코스피 시가총액 1위로 시장 유동성·정보 접근성이 높아 개인 투자자가 분석 연습을 하기 좋은 종목</w:t>
      </w:r>
    </w:p>
    <w:p>
      <w:pPr>
        <w:spacing w:after="60" w:before="160"/>
      </w:pPr>
      <w:r>
        <w:rPr>
          <w:rFonts w:ascii="Malgun Gothic" w:cs="Malgun Gothic" w:eastAsia="Malgun Gothic" w:hAnsi="Malgun Gothic"/>
          <w:b/>
          <w:bCs/>
          <w:color w:val="1B2340"/>
          <w:sz w:val="20"/>
          <w:szCs w:val="20"/>
        </w:rPr>
        <w:t xml:space="preserve">리스크 요인</w:t>
      </w:r>
    </w:p>
    <w:p>
      <w:pPr>
        <w:pStyle w:val="ListParagraph"/>
        <w:numPr>
          <w:ilvl w:val="0"/>
          <w:numId w:val="2"/>
        </w:numPr>
        <w:spacing w:after="80" w:line="276"/>
      </w:pPr>
      <w:r>
        <w:rPr>
          <w:rFonts w:ascii="Malgun Gothic" w:cs="Malgun Gothic" w:eastAsia="Malgun Gothic" w:hAnsi="Malgun Gothic"/>
          <w:color w:val="22201E"/>
          <w:sz w:val="21"/>
          <w:szCs w:val="21"/>
        </w:rPr>
        <w:t xml:space="preserve">DX 부문의 실적 부진(이번 분기 적자) — 반도체 의존도가 높아지는 구조적 리스크</w:t>
      </w:r>
    </w:p>
    <w:p>
      <w:pPr>
        <w:pStyle w:val="ListParagraph"/>
        <w:numPr>
          <w:ilvl w:val="0"/>
          <w:numId w:val="2"/>
        </w:numPr>
        <w:spacing w:after="80" w:line="276"/>
      </w:pPr>
      <w:r>
        <w:rPr>
          <w:rFonts w:ascii="Malgun Gothic" w:cs="Malgun Gothic" w:eastAsia="Malgun Gothic" w:hAnsi="Malgun Gothic"/>
          <w:color w:val="22201E"/>
          <w:sz w:val="21"/>
          <w:szCs w:val="21"/>
        </w:rPr>
        <w:t xml:space="preserve">52주 변동폭이 매우 커 단기 주가 변동성에 노출될 가능성</w:t>
      </w:r>
    </w:p>
    <w:p>
      <w:pPr>
        <w:pStyle w:val="ListParagraph"/>
        <w:numPr>
          <w:ilvl w:val="0"/>
          <w:numId w:val="2"/>
        </w:numPr>
        <w:spacing w:after="80" w:line="276"/>
      </w:pPr>
      <w:r>
        <w:rPr>
          <w:rFonts w:ascii="Malgun Gothic" w:cs="Malgun Gothic" w:eastAsia="Malgun Gothic" w:hAnsi="Malgun Gothic"/>
          <w:color w:val="22201E"/>
          <w:sz w:val="21"/>
          <w:szCs w:val="21"/>
        </w:rPr>
        <w:t xml:space="preserve">메모리 업황은 사이클 산업으로, 현재의 호황이 언제까지 지속될지는 불확실</w:t>
      </w:r>
    </w:p>
    <w:p>
      <w:pPr>
        <w:spacing w:after="60" w:before="160"/>
      </w:pPr>
      <w:r>
        <w:rPr>
          <w:rFonts w:ascii="Malgun Gothic" w:cs="Malgun Gothic" w:eastAsia="Malgun Gothic" w:hAnsi="Malgun Gothic"/>
          <w:b/>
          <w:bCs/>
          <w:color w:val="1B2340"/>
          <w:sz w:val="20"/>
          <w:szCs w:val="20"/>
        </w:rPr>
        <w:t xml:space="preserve">가상 포트폴리오 내 제안(예시)</w:t>
      </w:r>
    </w:p>
    <w:p>
      <w:pPr>
        <w:spacing w:after="140" w:line="288"/>
      </w:pPr>
      <w:r>
        <w:rPr>
          <w:rFonts w:ascii="Malgun Gothic" w:cs="Malgun Gothic" w:eastAsia="Malgun Gothic" w:hAnsi="Malgun Gothic"/>
          <w:b w:val="false"/>
          <w:bCs w:val="false"/>
          <w:i w:val="false"/>
          <w:iCs w:val="false"/>
          <w:color w:val="767066"/>
          <w:sz w:val="21"/>
          <w:szCs w:val="21"/>
        </w:rPr>
        <w:t xml:space="preserve">7주차 "포트폴리오 구성 &amp; 비중관리" 실습과 연결해, 가상 펀드 내 비중을 지나치게 크게 가져가기보다 분산의 한 축으로 편입하는 것으로 결론지었습니다. (예시: 가상 포트폴리오 총액의 15~20% 내외)</w:t>
      </w:r>
    </w:p>
    <w:p>
      <w:pPr>
        <w:spacing w:after="100" w:before="160"/>
      </w:pPr>
      <w:r>
        <w:rPr>
          <w:rFonts w:ascii="Malgun Gothic" w:cs="Malgun Gothic" w:eastAsia="Malgun Gothic" w:hAnsi="Malgun Gothic"/>
          <w:b/>
          <w:bCs/>
          <w:color w:val="1B2340"/>
          <w:sz w:val="20"/>
          <w:szCs w:val="20"/>
        </w:rPr>
        <w:t xml:space="preserve">최종 의견</w:t>
      </w:r>
    </w:p>
    <w:p>
      <w:pPr>
        <w:spacing w:after="140" w:line="288"/>
      </w:pPr>
      <w:r>
        <w:rPr>
          <w:rFonts w:ascii="Malgun Gothic" w:cs="Malgun Gothic" w:eastAsia="Malgun Gothic" w:hAnsi="Malgun Gothic"/>
          <w:b w:val="false"/>
          <w:bCs w:val="false"/>
          <w:i w:val="false"/>
          <w:iCs w:val="false"/>
          <w:color w:val="22201E"/>
          <w:sz w:val="21"/>
          <w:szCs w:val="21"/>
        </w:rPr>
        <w:t xml:space="preserve">삼성전자는 반도체 업황 호조에 힘입어 단기 실적 모멘텀이 뚜렷하지만, DX 부문 부진과 사이클 업종 특성상 변동성이 크다는 점을 함께 고려해야 합니다. 8주간의 분석을 종합하면, "메모리 업황에 대한 확신이 있다면 분할 매수로 접근할 만한 종목"이라는 것이 이번 가상 펀드 피칭에서의 개인 결론이었습니다.</w:t>
      </w:r>
    </w:p>
    <w:p>
      <w:pPr>
        <w:pStyle w:val="Heading1"/>
        <w:pBdr>
          <w:bottom w:val="single" w:color="1B2340" w:sz="8" w:space="6"/>
        </w:pBdr>
        <w:spacing w:after="160" w:before="320"/>
      </w:pPr>
      <w:r>
        <w:rPr>
          <w:rFonts w:ascii="Malgun Gothic" w:cs="Malgun Gothic" w:eastAsia="Malgun Gothic" w:hAnsi="Malgun Gothic"/>
          <w:b/>
          <w:bCs/>
          <w:color w:val="1B2340"/>
          <w:sz w:val="30"/>
          <w:szCs w:val="30"/>
        </w:rPr>
        <w:t xml:space="preserve">6. 배운 점 (Reflection)</w:t>
      </w:r>
    </w:p>
    <w:p>
      <w:pPr>
        <w:pStyle w:val="ListParagraph"/>
        <w:numPr>
          <w:ilvl w:val="0"/>
          <w:numId w:val="2"/>
        </w:numPr>
        <w:spacing w:after="80" w:line="276"/>
      </w:pPr>
      <w:r>
        <w:rPr>
          <w:rFonts w:ascii="Malgun Gothic" w:cs="Malgun Gothic" w:eastAsia="Malgun Gothic" w:hAnsi="Malgun Gothic"/>
          <w:color w:val="22201E"/>
          <w:sz w:val="21"/>
          <w:szCs w:val="21"/>
        </w:rPr>
        <w:t xml:space="preserve">매출 규모와 이익 기여도는 다를 수 있으므로, 부문별 손익을 나눠서 봐야 한다.</w:t>
      </w:r>
    </w:p>
    <w:p>
      <w:pPr>
        <w:pStyle w:val="ListParagraph"/>
        <w:numPr>
          <w:ilvl w:val="0"/>
          <w:numId w:val="2"/>
        </w:numPr>
        <w:spacing w:after="80" w:line="276"/>
      </w:pPr>
      <w:r>
        <w:rPr>
          <w:rFonts w:ascii="Malgun Gothic" w:cs="Malgun Gothic" w:eastAsia="Malgun Gothic" w:hAnsi="Malgun Gothic"/>
          <w:color w:val="22201E"/>
          <w:sz w:val="21"/>
          <w:szCs w:val="21"/>
        </w:rPr>
        <w:t xml:space="preserve">PER·PBR은 절대 수치가 아니라 동종업계 비교를 통해서만 의미를 가진다.</w:t>
      </w:r>
    </w:p>
    <w:p>
      <w:pPr>
        <w:pStyle w:val="ListParagraph"/>
        <w:numPr>
          <w:ilvl w:val="0"/>
          <w:numId w:val="2"/>
        </w:numPr>
        <w:spacing w:after="80" w:line="276"/>
      </w:pPr>
      <w:r>
        <w:rPr>
          <w:rFonts w:ascii="Malgun Gothic" w:cs="Malgun Gothic" w:eastAsia="Malgun Gothic" w:hAnsi="Malgun Gothic"/>
          <w:color w:val="22201E"/>
          <w:sz w:val="21"/>
          <w:szCs w:val="21"/>
        </w:rPr>
        <w:t xml:space="preserve">시가총액이 큰 대형주도 업황 사이클에 따라 변동성이 클 수 있다.</w:t>
      </w:r>
    </w:p>
    <w:p>
      <w:pPr>
        <w:pStyle w:val="ListParagraph"/>
        <w:numPr>
          <w:ilvl w:val="0"/>
          <w:numId w:val="2"/>
        </w:numPr>
        <w:spacing w:after="80" w:line="276"/>
      </w:pPr>
      <w:r>
        <w:rPr>
          <w:rFonts w:ascii="Malgun Gothic" w:cs="Malgun Gothic" w:eastAsia="Malgun Gothic" w:hAnsi="Malgun Gothic"/>
          <w:color w:val="22201E"/>
          <w:sz w:val="21"/>
          <w:szCs w:val="21"/>
        </w:rPr>
        <w:t xml:space="preserve">8주간 같은 기업을 계속 추적하니, 뉴스 하나하나가 예전보다 훨씬 잘 이해됐다.</w:t>
      </w:r>
    </w:p>
    <w:p>
      <w:pPr>
        <w:pBdr>
          <w:top w:val="single" w:color="D9D2C4" w:sz="6" w:space="8"/>
        </w:pBdr>
        <w:spacing w:before="400"/>
      </w:pPr>
    </w:p>
    <w:p>
      <w:pPr>
        <w:spacing w:after="40" w:before="200"/>
      </w:pPr>
      <w:r>
        <w:rPr>
          <w:rFonts w:ascii="Malgun Gothic" w:cs="Malgun Gothic" w:eastAsia="Malgun Gothic" w:hAnsi="Malgun Gothic"/>
          <w:b/>
          <w:bCs/>
          <w:color w:val="767066"/>
          <w:sz w:val="17"/>
          <w:szCs w:val="17"/>
        </w:rPr>
        <w:t xml:space="preserve">자료 출처</w:t>
      </w:r>
    </w:p>
    <w:p>
      <w:pPr>
        <w:spacing w:after="140" w:line="288"/>
      </w:pPr>
      <w:r>
        <w:rPr>
          <w:rFonts w:ascii="Malgun Gothic" w:cs="Malgun Gothic" w:eastAsia="Malgun Gothic" w:hAnsi="Malgun Gothic"/>
          <w:b w:val="false"/>
          <w:bCs w:val="false"/>
          <w:i w:val="false"/>
          <w:iCs w:val="false"/>
          <w:color w:val="767066"/>
          <w:sz w:val="21"/>
          <w:szCs w:val="21"/>
        </w:rPr>
        <w:t xml:space="preserve">삼성전자 뉴스룸 2026년 2분기 실적 발표(news.samsung.com), 스톡허브 삼성전자 종목 페이지(stockhub.kr), 알파스퀘어 SK하이닉스 종목 페이지(alphasquare.co.kr) — 2026.08.20 조회 기준</w:t>
      </w:r>
    </w:p>
    <w:p>
      <w:pPr>
        <w:spacing w:before="120"/>
      </w:pPr>
      <w:r>
        <w:rPr>
          <w:rFonts w:ascii="Malgun Gothic" w:cs="Malgun Gothic" w:eastAsia="Malgun Gothic" w:hAnsi="Malgun Gothic"/>
          <w:i/>
          <w:iCs/>
          <w:color w:val="767066"/>
          <w:sz w:val="16"/>
          <w:szCs w:val="16"/>
        </w:rPr>
        <w:t xml:space="preserve">※ 본 문서는 크림슨밸류 학회 커리큘럼 예시 자료이며, 특정 종목에 대한 매수·매도 추천이나 투자 자문이 아닙니다. 수치는 작성 시점 공개 자료를 인용한 것으로 실제와 차이가 있을 수 있습니다.</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algun Gothic" w:cs="Malgun Gothic" w:eastAsia="Malgun Gothic" w:hAnsi="Malgun Gothic"/>
        <w:color w:val="76706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2C4" w:sz="4" w:space="4"/>
      </w:pBdr>
      <w:jc w:val="right"/>
    </w:pPr>
    <w:r>
      <w:rPr>
        <w:rFonts w:ascii="Malgun Gothic" w:cs="Malgun Gothic" w:eastAsia="Malgun Gothic" w:hAnsi="Malgun Gothic"/>
        <w:color w:val="767066"/>
        <w:sz w:val="15"/>
        <w:szCs w:val="15"/>
      </w:rPr>
      <w:t xml:space="preserve">CRIMSON VALUE · 관심기업 리서치 리포트 예시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2026-08-20T07:16:46.832Z</dcterms:created>
  <dcterms:modified xsi:type="dcterms:W3CDTF">2026-08-20T07:16:46.833Z</dcterms:modified>
</cp:coreProperties>
</file>

<file path=docProps/custom.xml><?xml version="1.0" encoding="utf-8"?>
<Properties xmlns="http://schemas.openxmlformats.org/officeDocument/2006/custom-properties" xmlns:vt="http://schemas.openxmlformats.org/officeDocument/2006/docPropsVTypes"/>
</file>